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E0" w:rsidRPr="007E55E0" w:rsidRDefault="007E55E0" w:rsidP="007E55E0">
      <w:pPr>
        <w:jc w:val="center"/>
        <w:rPr>
          <w:rFonts w:ascii="Times New Roman" w:hAnsi="Times New Roman"/>
          <w:b/>
          <w:sz w:val="24"/>
          <w:szCs w:val="24"/>
        </w:rPr>
      </w:pPr>
      <w:r w:rsidRPr="007E55E0">
        <w:rPr>
          <w:rFonts w:ascii="Times New Roman" w:hAnsi="Times New Roman"/>
          <w:b/>
          <w:sz w:val="24"/>
          <w:szCs w:val="24"/>
        </w:rPr>
        <w:t>Технически спецификации</w:t>
      </w:r>
    </w:p>
    <w:p w:rsidR="00AE0F95" w:rsidRPr="00AE0F95" w:rsidRDefault="007E55E0" w:rsidP="00AE0F95">
      <w:pPr>
        <w:pStyle w:val="a6"/>
        <w:jc w:val="both"/>
        <w:rPr>
          <w:b w:val="0"/>
          <w:bCs/>
          <w:sz w:val="24"/>
          <w:szCs w:val="24"/>
        </w:rPr>
      </w:pPr>
      <w:r w:rsidRPr="00AE0F95">
        <w:rPr>
          <w:b w:val="0"/>
          <w:sz w:val="24"/>
          <w:szCs w:val="24"/>
          <w:lang w:val="bg-BG"/>
        </w:rPr>
        <w:t xml:space="preserve"> </w:t>
      </w:r>
      <w:r w:rsidR="00AE0F95" w:rsidRPr="00AE0F95">
        <w:rPr>
          <w:b w:val="0"/>
          <w:sz w:val="24"/>
          <w:szCs w:val="24"/>
        </w:rPr>
        <w:t xml:space="preserve">„Избор на предприятие за предоставяне на  съобщителни услуги чрез мобилна наземна мрежа по стандарт GSM/UMTS с национално покритие за нуждите на Община Русе </w:t>
      </w:r>
      <w:r w:rsidR="00AE0F95" w:rsidRPr="00AE0F95">
        <w:rPr>
          <w:b w:val="0"/>
          <w:sz w:val="24"/>
          <w:szCs w:val="24"/>
          <w:lang w:val="bg-BG"/>
        </w:rPr>
        <w:t>и на</w:t>
      </w:r>
      <w:r w:rsidR="00AE0F95" w:rsidRPr="00AE0F95">
        <w:rPr>
          <w:b w:val="0"/>
          <w:sz w:val="24"/>
          <w:szCs w:val="24"/>
        </w:rPr>
        <w:t xml:space="preserve"> всички второстепенни разпоредители на</w:t>
      </w:r>
      <w:r w:rsidR="00AE0F95" w:rsidRPr="00AE0F95">
        <w:rPr>
          <w:b w:val="0"/>
          <w:sz w:val="24"/>
          <w:szCs w:val="24"/>
          <w:lang w:val="bg-BG"/>
        </w:rPr>
        <w:t xml:space="preserve"> </w:t>
      </w:r>
      <w:r w:rsidR="00AE0F95" w:rsidRPr="00AE0F95">
        <w:rPr>
          <w:b w:val="0"/>
          <w:sz w:val="24"/>
          <w:szCs w:val="24"/>
        </w:rPr>
        <w:t>бюджетна издръжка</w:t>
      </w:r>
      <w:r w:rsidR="00AE0F95" w:rsidRPr="00AE0F95">
        <w:rPr>
          <w:b w:val="0"/>
          <w:sz w:val="24"/>
          <w:szCs w:val="24"/>
          <w:lang w:val="bg-BG"/>
        </w:rPr>
        <w:t>,</w:t>
      </w:r>
      <w:r w:rsidR="00AE0F95" w:rsidRPr="00AE0F95">
        <w:rPr>
          <w:b w:val="0"/>
          <w:sz w:val="24"/>
          <w:szCs w:val="24"/>
        </w:rPr>
        <w:t xml:space="preserve"> които не са самостоятелни юридически лица</w:t>
      </w:r>
      <w:r w:rsidR="00AE0F95" w:rsidRPr="00AE0F95">
        <w:rPr>
          <w:b w:val="0"/>
          <w:sz w:val="24"/>
          <w:szCs w:val="24"/>
          <w:lang w:val="en-US"/>
        </w:rPr>
        <w:t xml:space="preserve">, </w:t>
      </w:r>
      <w:r w:rsidR="00AE0F95" w:rsidRPr="00AE0F95">
        <w:rPr>
          <w:b w:val="0"/>
          <w:sz w:val="24"/>
          <w:szCs w:val="24"/>
          <w:lang w:val="bg-BG"/>
        </w:rPr>
        <w:t>които не са възложители по ЗОП</w:t>
      </w:r>
      <w:r w:rsidR="00AE0F95" w:rsidRPr="00AE0F95">
        <w:rPr>
          <w:b w:val="0"/>
          <w:sz w:val="24"/>
          <w:szCs w:val="24"/>
        </w:rPr>
        <w:t>”</w:t>
      </w:r>
    </w:p>
    <w:p w:rsidR="007E55E0" w:rsidRPr="007E55E0" w:rsidRDefault="007E55E0" w:rsidP="007E55E0">
      <w:pPr>
        <w:jc w:val="both"/>
        <w:rPr>
          <w:rFonts w:ascii="Times New Roman" w:hAnsi="Times New Roman"/>
          <w:sz w:val="24"/>
          <w:szCs w:val="24"/>
        </w:rPr>
      </w:pPr>
    </w:p>
    <w:tbl>
      <w:tblPr>
        <w:tblW w:w="94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538"/>
      </w:tblGrid>
      <w:tr w:rsidR="007E55E0" w:rsidRPr="007E55E0" w:rsidTr="004E12D0">
        <w:tc>
          <w:tcPr>
            <w:tcW w:w="882" w:type="dxa"/>
          </w:tcPr>
          <w:p w:rsidR="007E55E0" w:rsidRPr="007E55E0" w:rsidRDefault="007E55E0" w:rsidP="004E12D0">
            <w:pPr>
              <w:jc w:val="both"/>
              <w:rPr>
                <w:rFonts w:ascii="Times New Roman" w:hAnsi="Times New Roman"/>
                <w:b/>
                <w:sz w:val="24"/>
                <w:szCs w:val="24"/>
              </w:rPr>
            </w:pPr>
          </w:p>
        </w:tc>
        <w:tc>
          <w:tcPr>
            <w:tcW w:w="8538" w:type="dxa"/>
          </w:tcPr>
          <w:p w:rsidR="007E55E0" w:rsidRPr="007E55E0" w:rsidRDefault="007E55E0" w:rsidP="004E12D0">
            <w:pPr>
              <w:jc w:val="both"/>
              <w:rPr>
                <w:rFonts w:ascii="Times New Roman" w:hAnsi="Times New Roman"/>
                <w:b/>
                <w:sz w:val="24"/>
                <w:szCs w:val="24"/>
              </w:rPr>
            </w:pPr>
            <w:r w:rsidRPr="007E55E0">
              <w:rPr>
                <w:rFonts w:ascii="Times New Roman" w:hAnsi="Times New Roman"/>
                <w:b/>
                <w:sz w:val="24"/>
                <w:szCs w:val="24"/>
              </w:rPr>
              <w:t xml:space="preserve">І. Технически изисквания </w:t>
            </w:r>
          </w:p>
        </w:tc>
      </w:tr>
      <w:tr w:rsidR="007E55E0" w:rsidRPr="007E55E0" w:rsidTr="004E12D0">
        <w:tc>
          <w:tcPr>
            <w:tcW w:w="882" w:type="dxa"/>
          </w:tcPr>
          <w:p w:rsidR="007E55E0" w:rsidRPr="007E55E0" w:rsidRDefault="007E55E0" w:rsidP="004E12D0">
            <w:pPr>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p>
        </w:tc>
      </w:tr>
      <w:tr w:rsidR="007E55E0" w:rsidRPr="007E55E0" w:rsidTr="004E12D0">
        <w:tc>
          <w:tcPr>
            <w:tcW w:w="882" w:type="dxa"/>
          </w:tcPr>
          <w:p w:rsidR="007E55E0" w:rsidRPr="007E55E0" w:rsidRDefault="007E55E0" w:rsidP="004E12D0">
            <w:pPr>
              <w:pStyle w:val="a3"/>
              <w:numPr>
                <w:ilvl w:val="0"/>
                <w:numId w:val="2"/>
              </w:numPr>
              <w:spacing w:after="200"/>
              <w:jc w:val="both"/>
              <w:rPr>
                <w:bCs/>
              </w:rPr>
            </w:pPr>
          </w:p>
        </w:tc>
        <w:tc>
          <w:tcPr>
            <w:tcW w:w="8538" w:type="dxa"/>
          </w:tcPr>
          <w:p w:rsidR="007E55E0" w:rsidRPr="007E55E0" w:rsidRDefault="007E55E0" w:rsidP="004E12D0">
            <w:pPr>
              <w:pStyle w:val="a3"/>
              <w:ind w:left="0"/>
              <w:jc w:val="both"/>
            </w:pPr>
            <w:r w:rsidRPr="007E55E0">
              <w:rPr>
                <w:bCs/>
              </w:rPr>
              <w:t xml:space="preserve">Участникът да предложи  услуги по пренос на глас, кратки текстови  съобщения (SMS), </w:t>
            </w:r>
            <w:r w:rsidRPr="007E55E0">
              <w:t xml:space="preserve">мултимедийни съобщения (MMS) </w:t>
            </w:r>
            <w:r w:rsidRPr="007E55E0">
              <w:rPr>
                <w:bCs/>
              </w:rPr>
              <w:t xml:space="preserve"> и достъп до интернет чрез обществена електронна  мрежа по стандарт GSM </w:t>
            </w:r>
            <w:r w:rsidRPr="007E55E0">
              <w:rPr>
                <w:rStyle w:val="FontStyle31"/>
                <w:rFonts w:ascii="Times New Roman" w:hAnsi="Times New Roman" w:cs="Times New Roman"/>
                <w:b/>
                <w:sz w:val="24"/>
                <w:szCs w:val="24"/>
              </w:rPr>
              <w:t>/</w:t>
            </w:r>
            <w:r w:rsidRPr="007E55E0">
              <w:rPr>
                <w:rStyle w:val="FontStyle31"/>
                <w:rFonts w:ascii="Times New Roman" w:hAnsi="Times New Roman" w:cs="Times New Roman"/>
                <w:sz w:val="24"/>
                <w:szCs w:val="24"/>
              </w:rPr>
              <w:t>UMTS</w:t>
            </w:r>
            <w:r w:rsidRPr="007E55E0">
              <w:rPr>
                <w:rStyle w:val="FontStyle31"/>
                <w:rFonts w:ascii="Times New Roman" w:hAnsi="Times New Roman" w:cs="Times New Roman"/>
                <w:b/>
                <w:sz w:val="24"/>
                <w:szCs w:val="24"/>
              </w:rPr>
              <w:t xml:space="preserve"> </w:t>
            </w:r>
            <w:r w:rsidRPr="007E55E0">
              <w:rPr>
                <w:bCs/>
              </w:rPr>
              <w:t xml:space="preserve">с национално покритие за нуждите на експлоатационната дейност на </w:t>
            </w:r>
            <w:r w:rsidRPr="007E55E0">
              <w:t>Община Русе</w:t>
            </w:r>
            <w:r w:rsidRPr="007E55E0">
              <w:rPr>
                <w:bCs/>
              </w:rPr>
              <w:t>;</w:t>
            </w:r>
          </w:p>
        </w:tc>
      </w:tr>
      <w:tr w:rsidR="007E55E0" w:rsidRPr="007E55E0" w:rsidTr="004E12D0">
        <w:tc>
          <w:tcPr>
            <w:tcW w:w="882" w:type="dxa"/>
          </w:tcPr>
          <w:p w:rsidR="007E55E0" w:rsidRPr="007E55E0" w:rsidRDefault="007E55E0" w:rsidP="004E12D0">
            <w:pPr>
              <w:pStyle w:val="a3"/>
              <w:numPr>
                <w:ilvl w:val="0"/>
                <w:numId w:val="2"/>
              </w:numPr>
              <w:spacing w:after="200"/>
              <w:jc w:val="both"/>
              <w:rPr>
                <w:bCs/>
              </w:rPr>
            </w:pPr>
          </w:p>
        </w:tc>
        <w:tc>
          <w:tcPr>
            <w:tcW w:w="8538" w:type="dxa"/>
          </w:tcPr>
          <w:p w:rsidR="007E55E0" w:rsidRPr="007E55E0" w:rsidRDefault="007E55E0" w:rsidP="004E12D0">
            <w:pPr>
              <w:rPr>
                <w:rFonts w:ascii="Times New Roman" w:hAnsi="Times New Roman"/>
                <w:sz w:val="24"/>
                <w:szCs w:val="24"/>
              </w:rPr>
            </w:pPr>
            <w:r w:rsidRPr="007E55E0">
              <w:rPr>
                <w:rFonts w:ascii="Times New Roman" w:hAnsi="Times New Roman"/>
                <w:sz w:val="24"/>
                <w:szCs w:val="24"/>
              </w:rPr>
              <w:t>За технологичните нужди на Община Русе Участникът да осигури ползване на високоскоростен мобилен интернет достъп, чрез 3G USB  модем по 3G, EDGE, UMTS, HSDPA</w:t>
            </w:r>
            <w:r w:rsidRPr="007E55E0" w:rsidDel="00D320D2">
              <w:rPr>
                <w:rFonts w:ascii="Times New Roman" w:hAnsi="Times New Roman"/>
                <w:sz w:val="24"/>
                <w:szCs w:val="24"/>
              </w:rPr>
              <w:t xml:space="preserve"> </w:t>
            </w:r>
            <w:r w:rsidRPr="007E55E0">
              <w:rPr>
                <w:rFonts w:ascii="Times New Roman" w:hAnsi="Times New Roman"/>
                <w:sz w:val="24"/>
                <w:szCs w:val="24"/>
              </w:rPr>
              <w:t>технологии;</w:t>
            </w:r>
          </w:p>
        </w:tc>
      </w:tr>
      <w:tr w:rsidR="007E55E0" w:rsidRPr="007E55E0" w:rsidTr="00AE0F95">
        <w:trPr>
          <w:trHeight w:val="4850"/>
        </w:trPr>
        <w:tc>
          <w:tcPr>
            <w:tcW w:w="882" w:type="dxa"/>
          </w:tcPr>
          <w:p w:rsidR="007E55E0" w:rsidRPr="007E55E0" w:rsidRDefault="007E55E0" w:rsidP="004E12D0">
            <w:pPr>
              <w:pStyle w:val="a3"/>
              <w:numPr>
                <w:ilvl w:val="0"/>
                <w:numId w:val="2"/>
              </w:numPr>
              <w:spacing w:after="200"/>
              <w:jc w:val="both"/>
              <w:rPr>
                <w:bCs/>
              </w:rPr>
            </w:pPr>
          </w:p>
        </w:tc>
        <w:tc>
          <w:tcPr>
            <w:tcW w:w="8538" w:type="dxa"/>
          </w:tcPr>
          <w:p w:rsidR="007E55E0" w:rsidRPr="007E55E0" w:rsidRDefault="007E55E0" w:rsidP="004E12D0">
            <w:pPr>
              <w:rPr>
                <w:rFonts w:ascii="Times New Roman" w:hAnsi="Times New Roman"/>
                <w:sz w:val="24"/>
                <w:szCs w:val="24"/>
              </w:rPr>
            </w:pPr>
            <w:r w:rsidRPr="007E55E0">
              <w:rPr>
                <w:rFonts w:ascii="Times New Roman" w:hAnsi="Times New Roman"/>
                <w:sz w:val="24"/>
                <w:szCs w:val="24"/>
              </w:rPr>
              <w:t>За технологичните нужди на Община Русе Участникът да изгради VPN свързаност която поддържа OWN APN между Data SIM карти и съответните сървъри. Конкретните параметри на свързаността ще бъдат предоставени при подписване на  договор.</w:t>
            </w:r>
          </w:p>
          <w:p w:rsidR="007E55E0" w:rsidRPr="007E55E0" w:rsidRDefault="007E55E0" w:rsidP="004E12D0">
            <w:pPr>
              <w:rPr>
                <w:rFonts w:ascii="Times New Roman" w:hAnsi="Times New Roman"/>
                <w:sz w:val="24"/>
                <w:szCs w:val="24"/>
              </w:rPr>
            </w:pPr>
            <w:r w:rsidRPr="007E55E0">
              <w:rPr>
                <w:rFonts w:ascii="Times New Roman" w:hAnsi="Times New Roman"/>
                <w:noProof/>
                <w:sz w:val="24"/>
                <w:szCs w:val="24"/>
                <w:lang w:eastAsia="bg-BG"/>
              </w:rPr>
              <w:drawing>
                <wp:inline distT="0" distB="0" distL="0" distR="0" wp14:anchorId="23AD527F" wp14:editId="4B42A8D4">
                  <wp:extent cx="4724400" cy="1676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1676400"/>
                          </a:xfrm>
                          <a:prstGeom prst="rect">
                            <a:avLst/>
                          </a:prstGeom>
                          <a:noFill/>
                          <a:ln>
                            <a:noFill/>
                          </a:ln>
                        </pic:spPr>
                      </pic:pic>
                    </a:graphicData>
                  </a:graphic>
                </wp:inline>
              </w:drawing>
            </w:r>
          </w:p>
          <w:p w:rsidR="007E55E0" w:rsidRPr="007E55E0" w:rsidRDefault="007E55E0" w:rsidP="004E12D0">
            <w:pPr>
              <w:jc w:val="center"/>
              <w:rPr>
                <w:rFonts w:ascii="Times New Roman" w:hAnsi="Times New Roman"/>
                <w:color w:val="000000"/>
                <w:sz w:val="24"/>
                <w:szCs w:val="24"/>
              </w:rPr>
            </w:pPr>
            <w:r w:rsidRPr="007E55E0">
              <w:rPr>
                <w:rFonts w:ascii="Times New Roman" w:hAnsi="Times New Roman"/>
                <w:sz w:val="24"/>
                <w:szCs w:val="24"/>
              </w:rPr>
              <w:t>OWN APN</w:t>
            </w:r>
          </w:p>
          <w:p w:rsidR="007E55E0" w:rsidRPr="007E55E0" w:rsidRDefault="007E55E0" w:rsidP="004E12D0">
            <w:pPr>
              <w:rPr>
                <w:rFonts w:ascii="Times New Roman" w:hAnsi="Times New Roman"/>
                <w:strike/>
                <w:color w:val="FF0000"/>
                <w:sz w:val="24"/>
                <w:szCs w:val="24"/>
              </w:rPr>
            </w:pP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color w:val="000000"/>
                <w:sz w:val="24"/>
                <w:szCs w:val="24"/>
              </w:rPr>
            </w:pPr>
            <w:r w:rsidRPr="007E55E0">
              <w:rPr>
                <w:rFonts w:ascii="Times New Roman" w:hAnsi="Times New Roman"/>
                <w:color w:val="000000"/>
                <w:sz w:val="24"/>
                <w:szCs w:val="24"/>
              </w:rPr>
              <w:t xml:space="preserve">Да се предоставят </w:t>
            </w:r>
            <w:r w:rsidRPr="007E55E0">
              <w:rPr>
                <w:rFonts w:ascii="Times New Roman" w:hAnsi="Times New Roman"/>
                <w:b/>
                <w:bCs/>
                <w:color w:val="000000"/>
                <w:sz w:val="24"/>
                <w:szCs w:val="24"/>
              </w:rPr>
              <w:t>370</w:t>
            </w:r>
            <w:r w:rsidRPr="007E55E0">
              <w:rPr>
                <w:rFonts w:ascii="Times New Roman" w:hAnsi="Times New Roman"/>
                <w:color w:val="000000"/>
                <w:sz w:val="24"/>
                <w:szCs w:val="24"/>
              </w:rPr>
              <w:t xml:space="preserve"> (триста и седемдесет) SIM карти, </w:t>
            </w:r>
            <w:r w:rsidRPr="007E55E0">
              <w:rPr>
                <w:rFonts w:ascii="Times New Roman" w:hAnsi="Times New Roman"/>
                <w:b/>
                <w:bCs/>
                <w:color w:val="000000"/>
                <w:sz w:val="24"/>
                <w:szCs w:val="24"/>
              </w:rPr>
              <w:t>3</w:t>
            </w:r>
            <w:r w:rsidRPr="007E55E0">
              <w:rPr>
                <w:rFonts w:ascii="Times New Roman" w:hAnsi="Times New Roman"/>
                <w:color w:val="000000"/>
                <w:sz w:val="24"/>
                <w:szCs w:val="24"/>
              </w:rPr>
              <w:t xml:space="preserve"> (три) бр. Data SIM за мобилен интернет,  </w:t>
            </w:r>
            <w:r w:rsidRPr="007E55E0">
              <w:rPr>
                <w:rFonts w:ascii="Times New Roman" w:hAnsi="Times New Roman"/>
                <w:b/>
                <w:bCs/>
                <w:color w:val="000000"/>
                <w:sz w:val="24"/>
                <w:szCs w:val="24"/>
              </w:rPr>
              <w:t xml:space="preserve">338 </w:t>
            </w:r>
            <w:r w:rsidRPr="007E55E0">
              <w:rPr>
                <w:rFonts w:ascii="Times New Roman" w:hAnsi="Times New Roman"/>
                <w:color w:val="000000"/>
                <w:sz w:val="24"/>
                <w:szCs w:val="24"/>
              </w:rPr>
              <w:t xml:space="preserve">(триста тридесет и осем) бр. Data SIM за изграждане на VPN свързаност </w:t>
            </w:r>
            <w:r w:rsidRPr="007E55E0">
              <w:rPr>
                <w:rFonts w:ascii="Times New Roman" w:hAnsi="Times New Roman"/>
                <w:b/>
                <w:color w:val="FF0000"/>
                <w:sz w:val="24"/>
                <w:szCs w:val="24"/>
              </w:rPr>
              <w:t xml:space="preserve"> </w:t>
            </w:r>
            <w:r w:rsidRPr="007E55E0">
              <w:rPr>
                <w:rFonts w:ascii="Times New Roman" w:hAnsi="Times New Roman"/>
                <w:sz w:val="24"/>
                <w:szCs w:val="24"/>
              </w:rPr>
              <w:t>с включен пакет за пренос на данни  от 512 МВ</w:t>
            </w:r>
            <w:r w:rsidRPr="007E55E0">
              <w:rPr>
                <w:rFonts w:ascii="Times New Roman" w:hAnsi="Times New Roman"/>
                <w:b/>
                <w:sz w:val="24"/>
                <w:szCs w:val="24"/>
              </w:rPr>
              <w:t xml:space="preserve">. </w:t>
            </w:r>
            <w:r w:rsidRPr="007E55E0">
              <w:rPr>
                <w:rFonts w:ascii="Times New Roman" w:hAnsi="Times New Roman"/>
                <w:color w:val="000000"/>
                <w:sz w:val="24"/>
                <w:szCs w:val="24"/>
              </w:rPr>
              <w:t xml:space="preserve">Възможност за допълнителна доставка при необходимост на до </w:t>
            </w:r>
            <w:r w:rsidRPr="007E55E0">
              <w:rPr>
                <w:rFonts w:ascii="Times New Roman" w:hAnsi="Times New Roman"/>
                <w:sz w:val="24"/>
                <w:szCs w:val="24"/>
              </w:rPr>
              <w:t xml:space="preserve">100 </w:t>
            </w:r>
            <w:r w:rsidRPr="007E55E0">
              <w:rPr>
                <w:rFonts w:ascii="Times New Roman" w:hAnsi="Times New Roman"/>
                <w:color w:val="000000"/>
                <w:sz w:val="24"/>
                <w:szCs w:val="24"/>
              </w:rPr>
              <w:t>броя SIM карти.</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Срокът за</w:t>
            </w:r>
            <w:r w:rsidRPr="007E55E0">
              <w:rPr>
                <w:rFonts w:ascii="Times New Roman" w:hAnsi="Times New Roman"/>
                <w:b/>
                <w:sz w:val="24"/>
                <w:szCs w:val="24"/>
              </w:rPr>
              <w:t xml:space="preserve"> </w:t>
            </w:r>
            <w:r w:rsidRPr="007E55E0">
              <w:rPr>
                <w:rFonts w:ascii="Times New Roman" w:hAnsi="Times New Roman"/>
                <w:sz w:val="24"/>
                <w:szCs w:val="24"/>
              </w:rPr>
              <w:t>активиране и предоставяне на Възложителя</w:t>
            </w:r>
            <w:r w:rsidRPr="007E55E0">
              <w:rPr>
                <w:rFonts w:ascii="Times New Roman" w:hAnsi="Times New Roman"/>
                <w:b/>
                <w:sz w:val="24"/>
                <w:szCs w:val="24"/>
              </w:rPr>
              <w:t xml:space="preserve"> </w:t>
            </w:r>
            <w:r w:rsidRPr="007E55E0">
              <w:rPr>
                <w:rFonts w:ascii="Times New Roman" w:hAnsi="Times New Roman"/>
                <w:sz w:val="24"/>
                <w:szCs w:val="24"/>
              </w:rPr>
              <w:t>на първоначално заявения брой SIM – карти за абонатите на корпоративната група е до 14 (четиринадесет) дни, считано от датата на сключване на договора и получаване на писмена заявка от Възложителя;</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Срокът за предоставяне на допълнително заявения от Възложителя брой SIM – карти е до 5 (пет) работни дни след получаване на заявката.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Разпределението на SIM картите включени в корпоративната група е следното:</w:t>
            </w:r>
          </w:p>
          <w:p w:rsidR="007E55E0" w:rsidRPr="007E55E0" w:rsidRDefault="007E55E0" w:rsidP="007E55E0">
            <w:pPr>
              <w:numPr>
                <w:ilvl w:val="0"/>
                <w:numId w:val="3"/>
              </w:numPr>
              <w:spacing w:after="0" w:line="240" w:lineRule="auto"/>
              <w:jc w:val="both"/>
              <w:rPr>
                <w:rFonts w:ascii="Times New Roman" w:hAnsi="Times New Roman"/>
                <w:sz w:val="24"/>
                <w:szCs w:val="24"/>
              </w:rPr>
            </w:pPr>
            <w:r w:rsidRPr="007E55E0">
              <w:rPr>
                <w:rFonts w:ascii="Times New Roman" w:hAnsi="Times New Roman"/>
                <w:sz w:val="24"/>
                <w:szCs w:val="24"/>
              </w:rPr>
              <w:t>100 (сто) бр. за Община Русе;</w:t>
            </w:r>
          </w:p>
          <w:p w:rsidR="007E55E0" w:rsidRPr="007E55E0" w:rsidRDefault="007E55E0" w:rsidP="007E55E0">
            <w:pPr>
              <w:numPr>
                <w:ilvl w:val="0"/>
                <w:numId w:val="3"/>
              </w:numPr>
              <w:spacing w:after="0" w:line="240" w:lineRule="auto"/>
              <w:jc w:val="both"/>
              <w:rPr>
                <w:rFonts w:ascii="Times New Roman" w:hAnsi="Times New Roman"/>
                <w:sz w:val="24"/>
                <w:szCs w:val="24"/>
              </w:rPr>
            </w:pPr>
            <w:r w:rsidRPr="007E55E0">
              <w:rPr>
                <w:rFonts w:ascii="Times New Roman" w:hAnsi="Times New Roman"/>
                <w:sz w:val="24"/>
                <w:szCs w:val="24"/>
              </w:rPr>
              <w:t>52 (петдесет и две) бр. за Общинския съвет;</w:t>
            </w:r>
          </w:p>
          <w:p w:rsidR="007E55E0" w:rsidRPr="007E55E0" w:rsidRDefault="007E55E0" w:rsidP="007E55E0">
            <w:pPr>
              <w:numPr>
                <w:ilvl w:val="0"/>
                <w:numId w:val="3"/>
              </w:numPr>
              <w:spacing w:after="0" w:line="240" w:lineRule="auto"/>
              <w:jc w:val="both"/>
              <w:rPr>
                <w:rFonts w:ascii="Times New Roman" w:hAnsi="Times New Roman"/>
                <w:sz w:val="24"/>
                <w:szCs w:val="24"/>
              </w:rPr>
            </w:pPr>
            <w:r w:rsidRPr="007E55E0">
              <w:rPr>
                <w:rFonts w:ascii="Times New Roman" w:hAnsi="Times New Roman"/>
                <w:sz w:val="24"/>
                <w:szCs w:val="24"/>
              </w:rPr>
              <w:t>218 бр. за всички второстепенни разпоредители, които не са самостоятелни юридически лица;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Разпределението на Data SIM картите за изграждане на VPN свързаност е следното:</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100 (сто) бр. в бордови компютри на превозни средства;</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4 (четири) бр. в гаражите;</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60 (шейсет) бр. в търговски обекти;</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4 (четири) бр. в общински билетни офиси;</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50 (петдесет) бр. в автомати за зареждане;</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20 (двадесет) бр. в контрольорски устройства;</w:t>
            </w:r>
          </w:p>
          <w:p w:rsidR="007E55E0" w:rsidRPr="007E55E0" w:rsidRDefault="007E55E0" w:rsidP="007E55E0">
            <w:pPr>
              <w:numPr>
                <w:ilvl w:val="0"/>
                <w:numId w:val="4"/>
              </w:numPr>
              <w:spacing w:after="0" w:line="240" w:lineRule="auto"/>
              <w:jc w:val="both"/>
              <w:rPr>
                <w:rFonts w:ascii="Times New Roman" w:hAnsi="Times New Roman"/>
                <w:sz w:val="24"/>
                <w:szCs w:val="24"/>
              </w:rPr>
            </w:pPr>
            <w:r w:rsidRPr="007E55E0">
              <w:rPr>
                <w:rFonts w:ascii="Times New Roman" w:hAnsi="Times New Roman"/>
                <w:sz w:val="24"/>
                <w:szCs w:val="24"/>
              </w:rPr>
              <w:t>100 (сто) бр. в табла за светлинно информиране на спирки.</w:t>
            </w:r>
          </w:p>
          <w:p w:rsidR="007E55E0" w:rsidRPr="007E55E0" w:rsidRDefault="007E55E0" w:rsidP="004E12D0">
            <w:pPr>
              <w:jc w:val="both"/>
              <w:rPr>
                <w:rFonts w:ascii="Times New Roman" w:hAnsi="Times New Roman"/>
                <w:sz w:val="24"/>
                <w:szCs w:val="24"/>
              </w:rPr>
            </w:pPr>
            <w:r w:rsidRPr="007E55E0">
              <w:rPr>
                <w:rFonts w:ascii="Times New Roman" w:hAnsi="Times New Roman"/>
                <w:i/>
                <w:sz w:val="24"/>
                <w:szCs w:val="24"/>
              </w:rPr>
              <w:t>Забележка:</w:t>
            </w:r>
            <w:r w:rsidRPr="007E55E0">
              <w:rPr>
                <w:rFonts w:ascii="Times New Roman" w:hAnsi="Times New Roman"/>
                <w:sz w:val="24"/>
                <w:szCs w:val="24"/>
              </w:rPr>
              <w:t xml:space="preserve"> Картите са с достъп само до IP адресите на сървърите. Без достъп до гласови услуги, SMS и интернет;</w:t>
            </w:r>
          </w:p>
        </w:tc>
      </w:tr>
      <w:tr w:rsidR="007E55E0" w:rsidRPr="007E55E0" w:rsidTr="004E12D0">
        <w:tc>
          <w:tcPr>
            <w:tcW w:w="882" w:type="dxa"/>
          </w:tcPr>
          <w:p w:rsidR="007E55E0" w:rsidRPr="007E55E0" w:rsidRDefault="007E55E0" w:rsidP="004E12D0">
            <w:pPr>
              <w:pStyle w:val="a3"/>
              <w:numPr>
                <w:ilvl w:val="0"/>
                <w:numId w:val="2"/>
              </w:numPr>
              <w:spacing w:after="200"/>
              <w:jc w:val="both"/>
            </w:pPr>
          </w:p>
        </w:tc>
        <w:tc>
          <w:tcPr>
            <w:tcW w:w="8538" w:type="dxa"/>
          </w:tcPr>
          <w:p w:rsidR="007E55E0" w:rsidRPr="007E55E0" w:rsidRDefault="007E55E0" w:rsidP="004E12D0">
            <w:pPr>
              <w:jc w:val="both"/>
              <w:rPr>
                <w:rFonts w:ascii="Times New Roman" w:hAnsi="Times New Roman"/>
                <w:b/>
                <w:sz w:val="24"/>
                <w:szCs w:val="24"/>
              </w:rPr>
            </w:pPr>
            <w:r w:rsidRPr="007E55E0">
              <w:rPr>
                <w:rFonts w:ascii="Times New Roman" w:hAnsi="Times New Roman"/>
                <w:sz w:val="24"/>
                <w:szCs w:val="24"/>
              </w:rPr>
              <w:t xml:space="preserve">Да бъде осигурена възможност за провеждане на разговори и услуги в рамките корпоративна  група и извън нея. Разговори към други мобилни оператори,  фиксирани мрежи, </w:t>
            </w:r>
            <w:proofErr w:type="spellStart"/>
            <w:r w:rsidRPr="007E55E0">
              <w:rPr>
                <w:rFonts w:ascii="Times New Roman" w:hAnsi="Times New Roman"/>
                <w:sz w:val="24"/>
                <w:szCs w:val="24"/>
              </w:rPr>
              <w:t>роуминг</w:t>
            </w:r>
            <w:proofErr w:type="spellEnd"/>
            <w:r w:rsidRPr="007E55E0">
              <w:rPr>
                <w:rFonts w:ascii="Times New Roman" w:hAnsi="Times New Roman"/>
                <w:sz w:val="24"/>
                <w:szCs w:val="24"/>
              </w:rPr>
              <w:t xml:space="preserve">, международни разговори, изпращане и получаване на </w:t>
            </w:r>
            <w:r w:rsidRPr="007E55E0">
              <w:rPr>
                <w:rFonts w:ascii="Times New Roman" w:hAnsi="Times New Roman"/>
                <w:bCs/>
                <w:sz w:val="24"/>
                <w:szCs w:val="24"/>
              </w:rPr>
              <w:t>кратки текстови  съобщения (SMS),</w:t>
            </w:r>
            <w:r w:rsidRPr="007E55E0">
              <w:rPr>
                <w:rFonts w:ascii="Times New Roman" w:hAnsi="Times New Roman"/>
                <w:sz w:val="24"/>
                <w:szCs w:val="24"/>
              </w:rPr>
              <w:t xml:space="preserve"> мултимедийни съобщения (MMS) </w:t>
            </w:r>
            <w:r w:rsidRPr="007E55E0">
              <w:rPr>
                <w:rFonts w:ascii="Times New Roman" w:hAnsi="Times New Roman"/>
                <w:bCs/>
                <w:sz w:val="24"/>
                <w:szCs w:val="24"/>
              </w:rPr>
              <w:t xml:space="preserve">  и достъп до интернет. </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За SIM картите от корпоративната група да бъдат предложени два тарифни плана «Тарифа 1» и «Тарифа 2» – с възможност за избор от Община Русе и промяна от една в друга;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bCs/>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bCs/>
                <w:sz w:val="24"/>
                <w:szCs w:val="24"/>
              </w:rPr>
              <w:t>К</w:t>
            </w:r>
            <w:r w:rsidRPr="007E55E0">
              <w:rPr>
                <w:rFonts w:ascii="Times New Roman" w:hAnsi="Times New Roman"/>
                <w:sz w:val="24"/>
                <w:szCs w:val="24"/>
              </w:rPr>
              <w:t>редитни лимити на SIM картите – по избор на Община Русе с възможност за промяна;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bCs/>
                <w:sz w:val="24"/>
                <w:szCs w:val="24"/>
              </w:rPr>
            </w:pPr>
          </w:p>
        </w:tc>
        <w:tc>
          <w:tcPr>
            <w:tcW w:w="8538" w:type="dxa"/>
          </w:tcPr>
          <w:p w:rsidR="007E55E0" w:rsidRPr="007E55E0" w:rsidRDefault="007E55E0" w:rsidP="004E12D0">
            <w:pPr>
              <w:jc w:val="both"/>
              <w:rPr>
                <w:rFonts w:ascii="Times New Roman" w:hAnsi="Times New Roman"/>
                <w:bCs/>
                <w:sz w:val="24"/>
                <w:szCs w:val="24"/>
              </w:rPr>
            </w:pPr>
            <w:r w:rsidRPr="007E55E0">
              <w:rPr>
                <w:rFonts w:ascii="Times New Roman" w:hAnsi="Times New Roman"/>
                <w:sz w:val="24"/>
                <w:szCs w:val="24"/>
              </w:rPr>
              <w:t>Възможност за определяне на достъпа на всяка една SIM карта до различни услуги като MMS, WAP, Гласова поща, GPRS, UMTS и други;</w:t>
            </w:r>
          </w:p>
        </w:tc>
      </w:tr>
      <w:tr w:rsidR="007E55E0" w:rsidRPr="007E55E0" w:rsidTr="004E12D0">
        <w:trPr>
          <w:trHeight w:val="562"/>
        </w:trPr>
        <w:tc>
          <w:tcPr>
            <w:tcW w:w="882" w:type="dxa"/>
          </w:tcPr>
          <w:p w:rsidR="007E55E0" w:rsidRPr="007E55E0" w:rsidRDefault="007E55E0" w:rsidP="004E12D0">
            <w:pPr>
              <w:pStyle w:val="a3"/>
              <w:numPr>
                <w:ilvl w:val="0"/>
                <w:numId w:val="2"/>
              </w:numPr>
              <w:shd w:val="clear" w:color="auto" w:fill="FFFFFF"/>
              <w:tabs>
                <w:tab w:val="left" w:pos="426"/>
                <w:tab w:val="left" w:pos="1418"/>
              </w:tabs>
              <w:spacing w:after="200"/>
              <w:jc w:val="both"/>
              <w:rPr>
                <w:color w:val="000000"/>
                <w:spacing w:val="-3"/>
              </w:rPr>
            </w:pPr>
          </w:p>
        </w:tc>
        <w:tc>
          <w:tcPr>
            <w:tcW w:w="8538" w:type="dxa"/>
          </w:tcPr>
          <w:p w:rsidR="007E55E0" w:rsidRPr="007E55E0" w:rsidRDefault="007E55E0" w:rsidP="004E12D0">
            <w:pPr>
              <w:pStyle w:val="a3"/>
              <w:shd w:val="clear" w:color="auto" w:fill="FFFFFF"/>
              <w:tabs>
                <w:tab w:val="left" w:pos="426"/>
                <w:tab w:val="left" w:pos="1418"/>
              </w:tabs>
              <w:ind w:left="0"/>
              <w:jc w:val="both"/>
              <w:rPr>
                <w:color w:val="000000"/>
                <w:spacing w:val="-3"/>
              </w:rPr>
            </w:pPr>
            <w:r w:rsidRPr="007E55E0">
              <w:rPr>
                <w:color w:val="000000"/>
                <w:spacing w:val="-3"/>
              </w:rPr>
              <w:t xml:space="preserve">Първоначален период на таксуване – 30 секунди, а след това </w:t>
            </w:r>
            <w:proofErr w:type="spellStart"/>
            <w:r w:rsidRPr="007E55E0">
              <w:rPr>
                <w:color w:val="000000"/>
                <w:spacing w:val="-3"/>
              </w:rPr>
              <w:t>тарифиране</w:t>
            </w:r>
            <w:proofErr w:type="spellEnd"/>
            <w:r w:rsidRPr="007E55E0">
              <w:rPr>
                <w:color w:val="000000"/>
                <w:spacing w:val="-3"/>
              </w:rPr>
              <w:t xml:space="preserve"> на 1/една/ секунда;</w:t>
            </w:r>
          </w:p>
        </w:tc>
      </w:tr>
      <w:tr w:rsidR="007E55E0" w:rsidRPr="007E55E0" w:rsidTr="004E12D0">
        <w:trPr>
          <w:trHeight w:val="428"/>
        </w:trPr>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Дубликат на открадната или изгубена карта в рамките на 24 ч., безплатна доставка до адреса на Възложителя ;</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Участникът е длъжен:</w:t>
            </w:r>
          </w:p>
          <w:p w:rsidR="007E55E0" w:rsidRPr="007E55E0" w:rsidRDefault="007E55E0" w:rsidP="004E12D0">
            <w:pPr>
              <w:numPr>
                <w:ilvl w:val="0"/>
                <w:numId w:val="1"/>
              </w:numPr>
              <w:spacing w:after="0" w:line="240" w:lineRule="auto"/>
              <w:jc w:val="both"/>
              <w:rPr>
                <w:rFonts w:ascii="Times New Roman" w:hAnsi="Times New Roman"/>
                <w:sz w:val="24"/>
                <w:szCs w:val="24"/>
              </w:rPr>
            </w:pPr>
            <w:r w:rsidRPr="007E55E0">
              <w:rPr>
                <w:rFonts w:ascii="Times New Roman" w:hAnsi="Times New Roman"/>
                <w:sz w:val="24"/>
                <w:szCs w:val="24"/>
              </w:rPr>
              <w:t>да запази съществуващите телефонни номера, използвани понастоящем от Община Русе;</w:t>
            </w:r>
          </w:p>
          <w:p w:rsidR="007E55E0" w:rsidRPr="007E55E0" w:rsidRDefault="007E55E0" w:rsidP="004E12D0">
            <w:pPr>
              <w:numPr>
                <w:ilvl w:val="0"/>
                <w:numId w:val="1"/>
              </w:numPr>
              <w:spacing w:after="0" w:line="240" w:lineRule="auto"/>
              <w:jc w:val="both"/>
              <w:rPr>
                <w:rFonts w:ascii="Times New Roman" w:hAnsi="Times New Roman"/>
                <w:sz w:val="24"/>
                <w:szCs w:val="24"/>
              </w:rPr>
            </w:pPr>
            <w:r w:rsidRPr="007E55E0">
              <w:rPr>
                <w:rFonts w:ascii="Times New Roman" w:hAnsi="Times New Roman"/>
                <w:sz w:val="24"/>
                <w:szCs w:val="24"/>
              </w:rPr>
              <w:t xml:space="preserve">да осигури при необходимост безплатна преносимост на съществуващите  номера; </w:t>
            </w:r>
          </w:p>
          <w:p w:rsidR="007E55E0" w:rsidRPr="007E55E0" w:rsidRDefault="007E55E0" w:rsidP="004E12D0">
            <w:pPr>
              <w:ind w:left="360"/>
              <w:jc w:val="both"/>
              <w:rPr>
                <w:rFonts w:ascii="Times New Roman" w:hAnsi="Times New Roman"/>
                <w:sz w:val="24"/>
                <w:szCs w:val="24"/>
              </w:rPr>
            </w:pPr>
            <w:r w:rsidRPr="007E55E0">
              <w:rPr>
                <w:rFonts w:ascii="Times New Roman" w:hAnsi="Times New Roman"/>
                <w:b/>
                <w:sz w:val="24"/>
                <w:szCs w:val="24"/>
              </w:rPr>
              <w:lastRenderedPageBreak/>
              <w:t>Заб.</w:t>
            </w:r>
            <w:r w:rsidRPr="007E55E0">
              <w:rPr>
                <w:rFonts w:ascii="Times New Roman" w:hAnsi="Times New Roman"/>
                <w:sz w:val="24"/>
                <w:szCs w:val="24"/>
              </w:rPr>
              <w:t xml:space="preserve"> Актуалният списък от номерата за запазване ще бъде предоставен при подписване на договор, като разходите по пренасянето са за сметка на Изпълнителя.</w:t>
            </w:r>
          </w:p>
        </w:tc>
      </w:tr>
      <w:tr w:rsidR="007E55E0" w:rsidRPr="007E55E0" w:rsidTr="004E12D0">
        <w:trPr>
          <w:trHeight w:val="734"/>
        </w:trPr>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Предоставяне на възможност за безплатна замяна на стандартна SIM   карта с </w:t>
            </w:r>
            <w:proofErr w:type="spellStart"/>
            <w:r w:rsidRPr="007E55E0">
              <w:rPr>
                <w:rFonts w:ascii="Times New Roman" w:hAnsi="Times New Roman"/>
                <w:sz w:val="24"/>
                <w:szCs w:val="24"/>
              </w:rPr>
              <w:t>микро</w:t>
            </w:r>
            <w:proofErr w:type="spellEnd"/>
            <w:r w:rsidRPr="007E55E0">
              <w:rPr>
                <w:rFonts w:ascii="Times New Roman" w:hAnsi="Times New Roman"/>
                <w:sz w:val="24"/>
                <w:szCs w:val="24"/>
              </w:rPr>
              <w:t xml:space="preserve"> SIM или </w:t>
            </w:r>
            <w:proofErr w:type="spellStart"/>
            <w:r w:rsidRPr="007E55E0">
              <w:rPr>
                <w:rFonts w:ascii="Times New Roman" w:hAnsi="Times New Roman"/>
                <w:sz w:val="24"/>
                <w:szCs w:val="24"/>
              </w:rPr>
              <w:t>нано</w:t>
            </w:r>
            <w:proofErr w:type="spellEnd"/>
            <w:r w:rsidRPr="007E55E0">
              <w:rPr>
                <w:rFonts w:ascii="Times New Roman" w:hAnsi="Times New Roman"/>
                <w:sz w:val="24"/>
                <w:szCs w:val="24"/>
              </w:rPr>
              <w:t xml:space="preserve"> SIM карта;</w:t>
            </w:r>
          </w:p>
        </w:tc>
      </w:tr>
      <w:tr w:rsidR="007E55E0" w:rsidRPr="007E55E0" w:rsidTr="004E12D0">
        <w:trPr>
          <w:trHeight w:val="447"/>
        </w:trPr>
        <w:tc>
          <w:tcPr>
            <w:tcW w:w="882" w:type="dxa"/>
          </w:tcPr>
          <w:p w:rsidR="007E55E0" w:rsidRPr="007E55E0" w:rsidRDefault="007E55E0" w:rsidP="004E12D0">
            <w:pPr>
              <w:pStyle w:val="a3"/>
              <w:numPr>
                <w:ilvl w:val="0"/>
                <w:numId w:val="2"/>
              </w:numPr>
              <w:shd w:val="clear" w:color="auto" w:fill="FFFFFF"/>
              <w:tabs>
                <w:tab w:val="left" w:pos="993"/>
              </w:tabs>
              <w:spacing w:after="200"/>
              <w:jc w:val="both"/>
              <w:rPr>
                <w:color w:val="000000"/>
                <w:spacing w:val="-1"/>
              </w:rPr>
            </w:pPr>
          </w:p>
        </w:tc>
        <w:tc>
          <w:tcPr>
            <w:tcW w:w="8538" w:type="dxa"/>
          </w:tcPr>
          <w:p w:rsidR="007E55E0" w:rsidRPr="007E55E0" w:rsidRDefault="007E55E0" w:rsidP="004E12D0">
            <w:pPr>
              <w:pStyle w:val="a3"/>
              <w:shd w:val="clear" w:color="auto" w:fill="FFFFFF"/>
              <w:tabs>
                <w:tab w:val="left" w:pos="993"/>
              </w:tabs>
              <w:ind w:left="0"/>
              <w:jc w:val="both"/>
            </w:pPr>
            <w:r w:rsidRPr="007E55E0">
              <w:rPr>
                <w:color w:val="000000"/>
                <w:spacing w:val="-1"/>
              </w:rPr>
              <w:t>Предоставяне на услуга "мобилен достъп до интернет" за ползване чрез SIM картите на Възложителя;</w:t>
            </w:r>
          </w:p>
        </w:tc>
      </w:tr>
      <w:tr w:rsidR="007E55E0" w:rsidRPr="007E55E0" w:rsidTr="004E12D0">
        <w:tc>
          <w:tcPr>
            <w:tcW w:w="882" w:type="dxa"/>
          </w:tcPr>
          <w:p w:rsidR="007E55E0" w:rsidRPr="007E55E0" w:rsidRDefault="007E55E0" w:rsidP="004E12D0">
            <w:pPr>
              <w:numPr>
                <w:ilvl w:val="0"/>
                <w:numId w:val="2"/>
              </w:numPr>
              <w:spacing w:after="0" w:line="240" w:lineRule="auto"/>
              <w:ind w:right="19"/>
              <w:jc w:val="both"/>
              <w:rPr>
                <w:rFonts w:ascii="Times New Roman" w:hAnsi="Times New Roman"/>
                <w:sz w:val="24"/>
                <w:szCs w:val="24"/>
              </w:rPr>
            </w:pPr>
          </w:p>
        </w:tc>
        <w:tc>
          <w:tcPr>
            <w:tcW w:w="8538" w:type="dxa"/>
          </w:tcPr>
          <w:p w:rsidR="007E55E0" w:rsidRPr="007E55E0" w:rsidRDefault="007E55E0" w:rsidP="004E12D0">
            <w:pPr>
              <w:ind w:right="19"/>
              <w:jc w:val="both"/>
              <w:rPr>
                <w:rFonts w:ascii="Times New Roman" w:hAnsi="Times New Roman"/>
                <w:sz w:val="24"/>
                <w:szCs w:val="24"/>
              </w:rPr>
            </w:pPr>
            <w:r w:rsidRPr="007E55E0">
              <w:rPr>
                <w:rFonts w:ascii="Times New Roman" w:hAnsi="Times New Roman"/>
                <w:sz w:val="24"/>
                <w:szCs w:val="24"/>
              </w:rPr>
              <w:t xml:space="preserve">Участникът да предложи допълнителни услуги подпомагащи  дейността на Възложителя: </w:t>
            </w:r>
          </w:p>
        </w:tc>
      </w:tr>
      <w:tr w:rsidR="007E55E0" w:rsidRPr="007E55E0" w:rsidTr="004E12D0">
        <w:tc>
          <w:tcPr>
            <w:tcW w:w="882" w:type="dxa"/>
          </w:tcPr>
          <w:p w:rsidR="007E55E0" w:rsidRPr="007E55E0" w:rsidRDefault="007E55E0" w:rsidP="004E12D0">
            <w:pPr>
              <w:pStyle w:val="a3"/>
              <w:numPr>
                <w:ilvl w:val="1"/>
                <w:numId w:val="2"/>
              </w:numPr>
              <w:shd w:val="clear" w:color="auto" w:fill="FFFFFF"/>
              <w:tabs>
                <w:tab w:val="left" w:pos="1134"/>
              </w:tabs>
              <w:spacing w:after="200"/>
              <w:jc w:val="both"/>
              <w:rPr>
                <w:color w:val="000000"/>
              </w:rPr>
            </w:pPr>
            <w:r w:rsidRPr="007E55E0">
              <w:rPr>
                <w:color w:val="000000"/>
              </w:rPr>
              <w:t>13.1</w:t>
            </w:r>
          </w:p>
        </w:tc>
        <w:tc>
          <w:tcPr>
            <w:tcW w:w="8538" w:type="dxa"/>
          </w:tcPr>
          <w:p w:rsidR="007E55E0" w:rsidRPr="007E55E0" w:rsidRDefault="007E55E0" w:rsidP="004E12D0">
            <w:pPr>
              <w:pStyle w:val="a3"/>
              <w:shd w:val="clear" w:color="auto" w:fill="FFFFFF"/>
              <w:tabs>
                <w:tab w:val="left" w:pos="1134"/>
              </w:tabs>
              <w:jc w:val="both"/>
            </w:pPr>
            <w:r w:rsidRPr="007E55E0">
              <w:rPr>
                <w:color w:val="000000"/>
              </w:rPr>
              <w:t xml:space="preserve">След уведомяване от страна на Възложителя по всяко време от срока на действие на договора да извършва промяна на броя на ползваните SIM карти и услуги (увеличение, намаление на броя </w:t>
            </w:r>
            <w:r w:rsidRPr="007E55E0">
              <w:t>SIM</w:t>
            </w:r>
            <w:r w:rsidRPr="007E55E0">
              <w:rPr>
                <w:color w:val="000000"/>
              </w:rPr>
              <w:t xml:space="preserve"> карти, прехвърляне на външно лице, активиране или деактивиране на </w:t>
            </w:r>
            <w:proofErr w:type="spellStart"/>
            <w:r w:rsidRPr="007E55E0">
              <w:rPr>
                <w:color w:val="000000"/>
              </w:rPr>
              <w:t>роуминг</w:t>
            </w:r>
            <w:proofErr w:type="spellEnd"/>
            <w:r w:rsidRPr="007E55E0">
              <w:rPr>
                <w:color w:val="000000"/>
              </w:rPr>
              <w:t>, кредитен лимит и други услуги), без санкции или неустойки;</w:t>
            </w:r>
          </w:p>
        </w:tc>
      </w:tr>
      <w:tr w:rsidR="007E55E0" w:rsidRPr="007E55E0" w:rsidTr="004E12D0">
        <w:tc>
          <w:tcPr>
            <w:tcW w:w="882" w:type="dxa"/>
          </w:tcPr>
          <w:p w:rsidR="007E55E0" w:rsidRPr="007E55E0" w:rsidRDefault="007E55E0" w:rsidP="004E12D0">
            <w:pPr>
              <w:pStyle w:val="a3"/>
              <w:numPr>
                <w:ilvl w:val="1"/>
                <w:numId w:val="2"/>
              </w:numPr>
              <w:shd w:val="clear" w:color="auto" w:fill="FFFFFF"/>
              <w:tabs>
                <w:tab w:val="left" w:pos="993"/>
                <w:tab w:val="left" w:pos="1382"/>
              </w:tabs>
              <w:spacing w:after="200"/>
              <w:jc w:val="both"/>
            </w:pPr>
          </w:p>
        </w:tc>
        <w:tc>
          <w:tcPr>
            <w:tcW w:w="8538" w:type="dxa"/>
          </w:tcPr>
          <w:p w:rsidR="007E55E0" w:rsidRPr="007E55E0" w:rsidRDefault="007E55E0" w:rsidP="004E12D0">
            <w:pPr>
              <w:pStyle w:val="a3"/>
              <w:shd w:val="clear" w:color="auto" w:fill="FFFFFF"/>
              <w:tabs>
                <w:tab w:val="left" w:pos="993"/>
                <w:tab w:val="left" w:pos="1382"/>
              </w:tabs>
              <w:jc w:val="both"/>
              <w:rPr>
                <w:color w:val="000000"/>
                <w:spacing w:val="-1"/>
              </w:rPr>
            </w:pPr>
            <w:r w:rsidRPr="007E55E0">
              <w:t>Да  се осигури възможност напуснали Община Русе служители да могат да прехвърлят служебните си телефонни номера на собствено име, без заплащане на неустойка за прекратяване на договора по тази SIM карта;</w:t>
            </w:r>
          </w:p>
        </w:tc>
      </w:tr>
      <w:tr w:rsidR="007E55E0" w:rsidRPr="007E55E0" w:rsidTr="004E12D0">
        <w:tc>
          <w:tcPr>
            <w:tcW w:w="882" w:type="dxa"/>
          </w:tcPr>
          <w:p w:rsidR="007E55E0" w:rsidRPr="007E55E0" w:rsidRDefault="007E55E0" w:rsidP="004E12D0">
            <w:pPr>
              <w:pStyle w:val="a3"/>
              <w:numPr>
                <w:ilvl w:val="1"/>
                <w:numId w:val="2"/>
              </w:numPr>
              <w:shd w:val="clear" w:color="auto" w:fill="FFFFFF"/>
              <w:tabs>
                <w:tab w:val="left" w:pos="993"/>
                <w:tab w:val="left" w:pos="1382"/>
              </w:tabs>
              <w:spacing w:after="200"/>
              <w:jc w:val="both"/>
            </w:pPr>
          </w:p>
        </w:tc>
        <w:tc>
          <w:tcPr>
            <w:tcW w:w="8538" w:type="dxa"/>
          </w:tcPr>
          <w:p w:rsidR="007E55E0" w:rsidRPr="007E55E0" w:rsidRDefault="007E55E0" w:rsidP="004E12D0">
            <w:pPr>
              <w:pStyle w:val="a3"/>
              <w:shd w:val="clear" w:color="auto" w:fill="FFFFFF"/>
              <w:tabs>
                <w:tab w:val="left" w:pos="993"/>
                <w:tab w:val="left" w:pos="1382"/>
              </w:tabs>
              <w:jc w:val="both"/>
              <w:rPr>
                <w:color w:val="000000"/>
                <w:spacing w:val="-1"/>
              </w:rPr>
            </w:pPr>
            <w:r w:rsidRPr="007E55E0">
              <w:t>Безвъзмездно предоставяне на услуги като: замяна на изгубена, открадната или унищожена SIM карта, подробно месечно извлечение, актуализиране на абонатите в корпоративната група, номера за данни и др.;</w:t>
            </w:r>
          </w:p>
        </w:tc>
      </w:tr>
      <w:tr w:rsidR="007E55E0" w:rsidRPr="007E55E0" w:rsidTr="004E12D0">
        <w:trPr>
          <w:trHeight w:val="60"/>
        </w:trPr>
        <w:tc>
          <w:tcPr>
            <w:tcW w:w="882" w:type="dxa"/>
          </w:tcPr>
          <w:p w:rsidR="007E55E0" w:rsidRPr="007E55E0" w:rsidRDefault="007E55E0" w:rsidP="004E12D0">
            <w:pPr>
              <w:ind w:left="720"/>
              <w:jc w:val="both"/>
              <w:rPr>
                <w:rFonts w:ascii="Times New Roman" w:hAnsi="Times New Roman"/>
                <w:sz w:val="24"/>
                <w:szCs w:val="24"/>
              </w:rPr>
            </w:pPr>
          </w:p>
        </w:tc>
        <w:tc>
          <w:tcPr>
            <w:tcW w:w="8538" w:type="dxa"/>
          </w:tcPr>
          <w:p w:rsidR="007E55E0" w:rsidRPr="007E55E0" w:rsidRDefault="007E55E0" w:rsidP="004E12D0">
            <w:pPr>
              <w:pStyle w:val="a3"/>
              <w:shd w:val="clear" w:color="auto" w:fill="FFFFFF"/>
              <w:tabs>
                <w:tab w:val="left" w:pos="993"/>
                <w:tab w:val="left" w:pos="1382"/>
              </w:tabs>
              <w:jc w:val="both"/>
            </w:pPr>
            <w:r w:rsidRPr="007E55E0">
              <w:t>Да се осигурява проверка на сметка и текущо потребление на кратък номер, или чрез SMS.</w:t>
            </w:r>
          </w:p>
          <w:p w:rsidR="007E55E0" w:rsidRPr="007E55E0" w:rsidRDefault="007E55E0" w:rsidP="004E12D0">
            <w:pPr>
              <w:pStyle w:val="a3"/>
              <w:shd w:val="clear" w:color="auto" w:fill="FFFFFF"/>
              <w:tabs>
                <w:tab w:val="left" w:pos="993"/>
                <w:tab w:val="left" w:pos="1382"/>
              </w:tabs>
              <w:jc w:val="both"/>
            </w:pPr>
            <w:r w:rsidRPr="007E55E0">
              <w:t>Услугата следва да осигури възможност на всеки индивидуален абонат от групата на Община Русе  възможност за проверка на индивидуалната сметка и други справки, чрез обаждане на номер за обслужване на клиенти;</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Определеният за изпълнител участник предоставя на  ОБЩИНА РУСЕ безвъзмездно детайлизирана сметка за ползваните услуги заедно с фактура;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Предоставяне на подробно месечно извлечение, както на електронен, така и на хартиен носител - по отделно по клиентски номера и услуги за групата на Възложителя. 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w:t>
            </w:r>
            <w:proofErr w:type="spellStart"/>
            <w:r w:rsidRPr="007E55E0">
              <w:rPr>
                <w:rFonts w:ascii="Times New Roman" w:hAnsi="Times New Roman"/>
                <w:sz w:val="24"/>
                <w:szCs w:val="24"/>
              </w:rPr>
              <w:t>роуминг</w:t>
            </w:r>
            <w:proofErr w:type="spellEnd"/>
            <w:r w:rsidRPr="007E55E0">
              <w:rPr>
                <w:rFonts w:ascii="Times New Roman" w:hAnsi="Times New Roman"/>
                <w:sz w:val="24"/>
                <w:szCs w:val="24"/>
              </w:rPr>
              <w:t xml:space="preserve">, както и разговори към други мобилни мрежи (за всяка друга мрежа), както и при поискване </w:t>
            </w:r>
            <w:r w:rsidRPr="007E55E0">
              <w:rPr>
                <w:rFonts w:ascii="Times New Roman" w:hAnsi="Times New Roman"/>
                <w:sz w:val="24"/>
                <w:szCs w:val="24"/>
              </w:rPr>
              <w:lastRenderedPageBreak/>
              <w:t>детайлизирана справка за изходящи разговори – за всеки проведен разговор от всеки абонатен номер;</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Избраният за Изпълнител по настоящата обществена поръчка следва да предостави на оторизиран представител на  Община Русе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Участникът трябва да осигурява непрекъснато предоставяне на описаните в настоящата документация съобщителни услуги, включително и на справочни услуги чрез мрежата си 24 (двадесет и четири) часа в денонощието, 7 (седем) дни в седмицата;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Качеството на услугите, предоставяни от Участника , трябва да бъде в съответствие с изискванията, предвидени в </w:t>
            </w:r>
            <w:proofErr w:type="spellStart"/>
            <w:r w:rsidRPr="007E55E0">
              <w:rPr>
                <w:rFonts w:ascii="Times New Roman" w:hAnsi="Times New Roman"/>
                <w:sz w:val="24"/>
                <w:szCs w:val="24"/>
              </w:rPr>
              <w:t>стандартизационните</w:t>
            </w:r>
            <w:proofErr w:type="spellEnd"/>
            <w:r w:rsidRPr="007E55E0">
              <w:rPr>
                <w:rFonts w:ascii="Times New Roman" w:hAnsi="Times New Roman"/>
                <w:sz w:val="24"/>
                <w:szCs w:val="24"/>
              </w:rPr>
              <w:t xml:space="preserve"> документи цитирани в Закона за електронните съобщения, и с Общите правила за взаимоотношения с крайните потребители, съгласувани с Комисията за регулиране на съобщенията; </w:t>
            </w:r>
          </w:p>
        </w:tc>
      </w:tr>
      <w:tr w:rsidR="007E55E0" w:rsidRPr="007E55E0" w:rsidTr="004E12D0">
        <w:tc>
          <w:tcPr>
            <w:tcW w:w="882" w:type="dxa"/>
          </w:tcPr>
          <w:p w:rsidR="007E55E0" w:rsidRPr="007E55E0" w:rsidRDefault="007E55E0" w:rsidP="004E12D0">
            <w:pPr>
              <w:numPr>
                <w:ilvl w:val="0"/>
                <w:numId w:val="2"/>
              </w:numPr>
              <w:spacing w:after="0" w:line="240" w:lineRule="auto"/>
              <w:ind w:right="72"/>
              <w:jc w:val="both"/>
              <w:rPr>
                <w:rFonts w:ascii="Times New Roman" w:hAnsi="Times New Roman"/>
                <w:sz w:val="24"/>
                <w:szCs w:val="24"/>
              </w:rPr>
            </w:pPr>
          </w:p>
        </w:tc>
        <w:tc>
          <w:tcPr>
            <w:tcW w:w="8538" w:type="dxa"/>
          </w:tcPr>
          <w:p w:rsidR="007E55E0" w:rsidRPr="007E55E0" w:rsidRDefault="007E55E0" w:rsidP="004E12D0">
            <w:pPr>
              <w:ind w:right="72"/>
              <w:jc w:val="both"/>
              <w:rPr>
                <w:rFonts w:ascii="Times New Roman" w:hAnsi="Times New Roman"/>
                <w:sz w:val="24"/>
                <w:szCs w:val="24"/>
              </w:rPr>
            </w:pPr>
            <w:r w:rsidRPr="007E55E0">
              <w:rPr>
                <w:rFonts w:ascii="Times New Roman" w:hAnsi="Times New Roman"/>
                <w:sz w:val="24"/>
                <w:szCs w:val="24"/>
              </w:rPr>
              <w:t xml:space="preserve">Да бъде указан </w:t>
            </w:r>
            <w:r w:rsidRPr="007E55E0">
              <w:rPr>
                <w:rFonts w:ascii="Times New Roman" w:hAnsi="Times New Roman"/>
                <w:bCs/>
                <w:sz w:val="24"/>
                <w:szCs w:val="24"/>
              </w:rPr>
              <w:t xml:space="preserve">броят базови станции </w:t>
            </w:r>
            <w:r w:rsidRPr="007E55E0">
              <w:rPr>
                <w:rFonts w:ascii="Times New Roman" w:hAnsi="Times New Roman"/>
                <w:sz w:val="24"/>
                <w:szCs w:val="24"/>
              </w:rPr>
              <w:t>– брой въведени в експлоатация 2G (GSM) базови станции (сайтове) към 31.12.2013 г.. Данните следва да съвпадат с тези от Въпросника за отчет за дейността през 2013 г. на предприятията, предоставящи обществени телефонни услуги чрез наземни мрежи с ползване на радиочестотния спектър (GSM, UMTS LTE) и т.н., представен на Комисията за регулиране на съобщенията</w:t>
            </w:r>
            <w:r w:rsidRPr="007E55E0">
              <w:rPr>
                <w:rFonts w:ascii="Times New Roman" w:hAnsi="Times New Roman"/>
                <w:color w:val="1F497D"/>
                <w:sz w:val="24"/>
                <w:szCs w:val="24"/>
              </w:rPr>
              <w:t xml:space="preserve"> </w:t>
            </w:r>
            <w:r w:rsidRPr="007E55E0">
              <w:rPr>
                <w:rFonts w:ascii="Times New Roman" w:hAnsi="Times New Roman"/>
                <w:sz w:val="24"/>
                <w:szCs w:val="24"/>
              </w:rPr>
              <w:t xml:space="preserve">(КРС). </w:t>
            </w:r>
          </w:p>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Представя се декларация или удостоверение от КРС. Възложителят си запазва правото при предоставянето на декларация да изисква при необходимост допълнителни доказателства.</w:t>
            </w:r>
          </w:p>
        </w:tc>
      </w:tr>
      <w:tr w:rsidR="007E55E0" w:rsidRPr="007E55E0" w:rsidTr="004E12D0">
        <w:tc>
          <w:tcPr>
            <w:tcW w:w="882" w:type="dxa"/>
          </w:tcPr>
          <w:p w:rsidR="007E55E0" w:rsidRPr="007E55E0" w:rsidRDefault="007E55E0" w:rsidP="004E12D0">
            <w:pPr>
              <w:pStyle w:val="a3"/>
              <w:spacing w:after="200"/>
              <w:jc w:val="both"/>
              <w:rPr>
                <w:b/>
              </w:rPr>
            </w:pPr>
          </w:p>
        </w:tc>
        <w:tc>
          <w:tcPr>
            <w:tcW w:w="8538" w:type="dxa"/>
          </w:tcPr>
          <w:p w:rsidR="007E55E0" w:rsidRPr="007E55E0" w:rsidRDefault="007E55E0" w:rsidP="004E12D0">
            <w:pPr>
              <w:pStyle w:val="a3"/>
              <w:ind w:left="360"/>
              <w:jc w:val="both"/>
              <w:rPr>
                <w:b/>
              </w:rPr>
            </w:pPr>
            <w:r w:rsidRPr="007E55E0">
              <w:rPr>
                <w:b/>
              </w:rPr>
              <w:t>Други изисквания</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При опасност от нарушаване сигурността на електронните съобщителни мрежи на Участника или пробив в неговите информационни  системи,  касаещи  ОБЩИНА РУСЕ,  същия трябва незабавно да уведоми Възложителя.  </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Разговорите в корпоративната група на Община Русе следва да бъдат безплатни и неограничени. За целта </w:t>
            </w:r>
            <w:r w:rsidRPr="007E55E0">
              <w:rPr>
                <w:rFonts w:ascii="Times New Roman" w:hAnsi="Times New Roman"/>
                <w:b/>
                <w:sz w:val="24"/>
                <w:szCs w:val="24"/>
              </w:rPr>
              <w:t xml:space="preserve"> </w:t>
            </w:r>
            <w:r w:rsidRPr="007E55E0">
              <w:rPr>
                <w:rFonts w:ascii="Times New Roman" w:hAnsi="Times New Roman"/>
                <w:sz w:val="24"/>
                <w:szCs w:val="24"/>
              </w:rPr>
              <w:t>Участниците задължително предлагат по 44 640 минути месечно на SIM карта за безплатни разговори в групата на Възложителя.</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jc w:val="both"/>
              <w:rPr>
                <w:rFonts w:ascii="Times New Roman" w:hAnsi="Times New Roman"/>
                <w:sz w:val="24"/>
                <w:szCs w:val="24"/>
              </w:rPr>
            </w:pPr>
            <w:r w:rsidRPr="007E55E0">
              <w:rPr>
                <w:rFonts w:ascii="Times New Roman" w:hAnsi="Times New Roman"/>
                <w:sz w:val="24"/>
                <w:szCs w:val="24"/>
              </w:rPr>
              <w:t xml:space="preserve">За случаите, неописани в </w:t>
            </w:r>
            <w:proofErr w:type="spellStart"/>
            <w:r w:rsidRPr="007E55E0">
              <w:rPr>
                <w:rFonts w:ascii="Times New Roman" w:hAnsi="Times New Roman"/>
                <w:color w:val="000000"/>
                <w:sz w:val="24"/>
                <w:szCs w:val="24"/>
              </w:rPr>
              <w:t>гореизложениете</w:t>
            </w:r>
            <w:proofErr w:type="spellEnd"/>
            <w:r w:rsidRPr="007E55E0">
              <w:rPr>
                <w:rFonts w:ascii="Times New Roman" w:hAnsi="Times New Roman"/>
                <w:color w:val="000000"/>
                <w:sz w:val="24"/>
                <w:szCs w:val="24"/>
              </w:rPr>
              <w:t xml:space="preserve"> технически и функционални характеристики</w:t>
            </w:r>
            <w:r w:rsidRPr="007E55E0">
              <w:rPr>
                <w:rFonts w:ascii="Times New Roman" w:hAnsi="Times New Roman"/>
                <w:sz w:val="24"/>
                <w:szCs w:val="24"/>
              </w:rPr>
              <w:t>, договора и приложенията към него ще важат Общите условия на Участника.</w:t>
            </w:r>
          </w:p>
        </w:tc>
      </w:tr>
      <w:tr w:rsidR="007E55E0" w:rsidRPr="007E55E0" w:rsidTr="004E12D0">
        <w:tc>
          <w:tcPr>
            <w:tcW w:w="882" w:type="dxa"/>
          </w:tcPr>
          <w:p w:rsidR="007E55E0" w:rsidRPr="007E55E0" w:rsidRDefault="007E55E0" w:rsidP="004E12D0">
            <w:pPr>
              <w:numPr>
                <w:ilvl w:val="0"/>
                <w:numId w:val="2"/>
              </w:numPr>
              <w:spacing w:after="0" w:line="240" w:lineRule="auto"/>
              <w:jc w:val="both"/>
              <w:rPr>
                <w:rFonts w:ascii="Times New Roman" w:hAnsi="Times New Roman"/>
                <w:sz w:val="24"/>
                <w:szCs w:val="24"/>
              </w:rPr>
            </w:pPr>
          </w:p>
        </w:tc>
        <w:tc>
          <w:tcPr>
            <w:tcW w:w="8538" w:type="dxa"/>
          </w:tcPr>
          <w:p w:rsidR="007E55E0" w:rsidRPr="007E55E0" w:rsidRDefault="007E55E0" w:rsidP="004E12D0">
            <w:pPr>
              <w:widowControl w:val="0"/>
              <w:shd w:val="clear" w:color="auto" w:fill="FFFFFF"/>
              <w:tabs>
                <w:tab w:val="left" w:pos="1411"/>
              </w:tabs>
              <w:autoSpaceDE w:val="0"/>
              <w:autoSpaceDN w:val="0"/>
              <w:adjustRightInd w:val="0"/>
              <w:spacing w:before="14" w:line="274" w:lineRule="exact"/>
              <w:ind w:right="22"/>
              <w:jc w:val="both"/>
              <w:rPr>
                <w:rFonts w:ascii="Times New Roman" w:hAnsi="Times New Roman"/>
                <w:sz w:val="24"/>
                <w:szCs w:val="24"/>
              </w:rPr>
            </w:pPr>
            <w:r w:rsidRPr="007E55E0">
              <w:rPr>
                <w:rFonts w:ascii="Times New Roman" w:hAnsi="Times New Roman"/>
                <w:sz w:val="24"/>
                <w:szCs w:val="24"/>
              </w:rPr>
              <w:t xml:space="preserve">Предложенията на участници, които не отговарят на предварително зададените технически изисквания и условията  към тарифните планове няма да бъдат </w:t>
            </w:r>
            <w:r w:rsidRPr="007E55E0">
              <w:rPr>
                <w:rFonts w:ascii="Times New Roman" w:hAnsi="Times New Roman"/>
                <w:sz w:val="24"/>
                <w:szCs w:val="24"/>
              </w:rPr>
              <w:lastRenderedPageBreak/>
              <w:t>разглеждани и се отстраняват от участие в поръчката;</w:t>
            </w:r>
          </w:p>
          <w:p w:rsidR="007E55E0" w:rsidRPr="007E55E0" w:rsidRDefault="007E55E0" w:rsidP="004E12D0">
            <w:pPr>
              <w:jc w:val="both"/>
              <w:rPr>
                <w:rFonts w:ascii="Times New Roman" w:hAnsi="Times New Roman"/>
                <w:sz w:val="24"/>
                <w:szCs w:val="24"/>
              </w:rPr>
            </w:pPr>
          </w:p>
        </w:tc>
      </w:tr>
    </w:tbl>
    <w:p w:rsidR="00ED4582" w:rsidRPr="00CF2096" w:rsidRDefault="00ED4582"/>
    <w:p w:rsidR="00ED4582" w:rsidRDefault="00ED4582">
      <w:pPr>
        <w:rPr>
          <w:lang w:val="en-US"/>
        </w:rPr>
      </w:pPr>
      <w:bookmarkStart w:id="0" w:name="_GoBack"/>
      <w:bookmarkEnd w:id="0"/>
    </w:p>
    <w:sectPr w:rsidR="00ED4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5435"/>
    <w:multiLevelType w:val="hybridMultilevel"/>
    <w:tmpl w:val="62D630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78995E3A"/>
    <w:multiLevelType w:val="hybridMultilevel"/>
    <w:tmpl w:val="6792D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25"/>
    <w:rsid w:val="00094C25"/>
    <w:rsid w:val="00682D49"/>
    <w:rsid w:val="00795291"/>
    <w:rsid w:val="007A3216"/>
    <w:rsid w:val="007E55E0"/>
    <w:rsid w:val="00802425"/>
    <w:rsid w:val="008E02F8"/>
    <w:rsid w:val="00993275"/>
    <w:rsid w:val="00997A4A"/>
    <w:rsid w:val="00AE0F95"/>
    <w:rsid w:val="00BE6FA8"/>
    <w:rsid w:val="00CF2096"/>
    <w:rsid w:val="00ED45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55E0"/>
    <w:pPr>
      <w:spacing w:after="0" w:line="240" w:lineRule="auto"/>
      <w:ind w:left="720"/>
      <w:contextualSpacing/>
    </w:pPr>
    <w:rPr>
      <w:rFonts w:ascii="Times New Roman" w:eastAsia="Times New Roman" w:hAnsi="Times New Roman"/>
      <w:sz w:val="24"/>
      <w:szCs w:val="24"/>
    </w:rPr>
  </w:style>
  <w:style w:type="character" w:customStyle="1" w:styleId="FontStyle31">
    <w:name w:val="Font Style31"/>
    <w:rsid w:val="007E55E0"/>
    <w:rPr>
      <w:rFonts w:ascii="Cambria" w:hAnsi="Cambria" w:cs="Cambria"/>
      <w:sz w:val="22"/>
      <w:szCs w:val="22"/>
    </w:rPr>
  </w:style>
  <w:style w:type="character" w:customStyle="1" w:styleId="FontStyle29">
    <w:name w:val="Font Style29"/>
    <w:rsid w:val="007E55E0"/>
    <w:rPr>
      <w:rFonts w:ascii="Cambria" w:hAnsi="Cambria" w:cs="Cambria"/>
      <w:sz w:val="28"/>
      <w:szCs w:val="28"/>
    </w:rPr>
  </w:style>
  <w:style w:type="paragraph" w:styleId="a4">
    <w:name w:val="Balloon Text"/>
    <w:basedOn w:val="a"/>
    <w:link w:val="a5"/>
    <w:uiPriority w:val="99"/>
    <w:semiHidden/>
    <w:unhideWhenUsed/>
    <w:rsid w:val="007E55E0"/>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E55E0"/>
    <w:rPr>
      <w:rFonts w:ascii="Tahoma" w:eastAsia="Calibri" w:hAnsi="Tahoma" w:cs="Tahoma"/>
      <w:sz w:val="16"/>
      <w:szCs w:val="16"/>
    </w:rPr>
  </w:style>
  <w:style w:type="paragraph" w:styleId="a6">
    <w:name w:val="Title"/>
    <w:basedOn w:val="a"/>
    <w:link w:val="a7"/>
    <w:qFormat/>
    <w:rsid w:val="00AE0F95"/>
    <w:pPr>
      <w:spacing w:after="0" w:line="240" w:lineRule="auto"/>
      <w:jc w:val="center"/>
    </w:pPr>
    <w:rPr>
      <w:rFonts w:ascii="Times New Roman" w:eastAsia="Times New Roman" w:hAnsi="Times New Roman"/>
      <w:b/>
      <w:sz w:val="28"/>
      <w:szCs w:val="20"/>
      <w:lang w:val="x-none" w:eastAsia="x-none"/>
    </w:rPr>
  </w:style>
  <w:style w:type="character" w:customStyle="1" w:styleId="a7">
    <w:name w:val="Заглавие Знак"/>
    <w:basedOn w:val="a0"/>
    <w:link w:val="a6"/>
    <w:rsid w:val="00AE0F95"/>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55E0"/>
    <w:pPr>
      <w:spacing w:after="0" w:line="240" w:lineRule="auto"/>
      <w:ind w:left="720"/>
      <w:contextualSpacing/>
    </w:pPr>
    <w:rPr>
      <w:rFonts w:ascii="Times New Roman" w:eastAsia="Times New Roman" w:hAnsi="Times New Roman"/>
      <w:sz w:val="24"/>
      <w:szCs w:val="24"/>
    </w:rPr>
  </w:style>
  <w:style w:type="character" w:customStyle="1" w:styleId="FontStyle31">
    <w:name w:val="Font Style31"/>
    <w:rsid w:val="007E55E0"/>
    <w:rPr>
      <w:rFonts w:ascii="Cambria" w:hAnsi="Cambria" w:cs="Cambria"/>
      <w:sz w:val="22"/>
      <w:szCs w:val="22"/>
    </w:rPr>
  </w:style>
  <w:style w:type="character" w:customStyle="1" w:styleId="FontStyle29">
    <w:name w:val="Font Style29"/>
    <w:rsid w:val="007E55E0"/>
    <w:rPr>
      <w:rFonts w:ascii="Cambria" w:hAnsi="Cambria" w:cs="Cambria"/>
      <w:sz w:val="28"/>
      <w:szCs w:val="28"/>
    </w:rPr>
  </w:style>
  <w:style w:type="paragraph" w:styleId="a4">
    <w:name w:val="Balloon Text"/>
    <w:basedOn w:val="a"/>
    <w:link w:val="a5"/>
    <w:uiPriority w:val="99"/>
    <w:semiHidden/>
    <w:unhideWhenUsed/>
    <w:rsid w:val="007E55E0"/>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E55E0"/>
    <w:rPr>
      <w:rFonts w:ascii="Tahoma" w:eastAsia="Calibri" w:hAnsi="Tahoma" w:cs="Tahoma"/>
      <w:sz w:val="16"/>
      <w:szCs w:val="16"/>
    </w:rPr>
  </w:style>
  <w:style w:type="paragraph" w:styleId="a6">
    <w:name w:val="Title"/>
    <w:basedOn w:val="a"/>
    <w:link w:val="a7"/>
    <w:qFormat/>
    <w:rsid w:val="00AE0F95"/>
    <w:pPr>
      <w:spacing w:after="0" w:line="240" w:lineRule="auto"/>
      <w:jc w:val="center"/>
    </w:pPr>
    <w:rPr>
      <w:rFonts w:ascii="Times New Roman" w:eastAsia="Times New Roman" w:hAnsi="Times New Roman"/>
      <w:b/>
      <w:sz w:val="28"/>
      <w:szCs w:val="20"/>
      <w:lang w:val="x-none" w:eastAsia="x-none"/>
    </w:rPr>
  </w:style>
  <w:style w:type="character" w:customStyle="1" w:styleId="a7">
    <w:name w:val="Заглавие Знак"/>
    <w:basedOn w:val="a0"/>
    <w:link w:val="a6"/>
    <w:rsid w:val="00AE0F95"/>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5</Pages>
  <Words>1288</Words>
  <Characters>7347</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2015-04-03T06:56:00Z</dcterms:created>
  <dcterms:modified xsi:type="dcterms:W3CDTF">2015-04-08T11:05:00Z</dcterms:modified>
</cp:coreProperties>
</file>